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AA" w:rsidRDefault="00E834AA" w:rsidP="00E834AA">
      <w:pPr>
        <w:widowControl/>
        <w:tabs>
          <w:tab w:val="left" w:pos="227"/>
        </w:tabs>
        <w:spacing w:beforeLines="50" w:before="156" w:afterLines="50" w:after="156" w:line="440" w:lineRule="exact"/>
        <w:jc w:val="left"/>
        <w:textAlignment w:val="baseline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F8587B" w:rsidRDefault="004E385A" w:rsidP="00F8587B">
      <w:pPr>
        <w:widowControl/>
        <w:tabs>
          <w:tab w:val="left" w:pos="227"/>
        </w:tabs>
        <w:spacing w:beforeLines="50" w:before="156" w:afterLines="50" w:after="156" w:line="440" w:lineRule="exact"/>
        <w:jc w:val="center"/>
        <w:textAlignment w:val="baseline"/>
        <w:outlineLvl w:val="0"/>
        <w:rPr>
          <w:rFonts w:ascii="宋体" w:hAnsi="宋体"/>
          <w:b/>
          <w:sz w:val="28"/>
          <w:szCs w:val="28"/>
        </w:rPr>
      </w:pPr>
      <w:r w:rsidRPr="004E385A">
        <w:rPr>
          <w:rFonts w:ascii="宋体" w:hAnsi="宋体" w:hint="eastAsia"/>
          <w:b/>
          <w:sz w:val="28"/>
          <w:szCs w:val="28"/>
        </w:rPr>
        <w:t>“网络安全</w:t>
      </w:r>
      <w:r w:rsidR="00371FE2">
        <w:rPr>
          <w:rFonts w:ascii="宋体" w:hAnsi="宋体" w:hint="eastAsia"/>
          <w:b/>
          <w:sz w:val="28"/>
          <w:szCs w:val="28"/>
        </w:rPr>
        <w:t>与数据恢复学习</w:t>
      </w:r>
      <w:r w:rsidRPr="004E385A">
        <w:rPr>
          <w:rFonts w:ascii="宋体" w:hAnsi="宋体" w:hint="eastAsia"/>
          <w:b/>
          <w:sz w:val="28"/>
          <w:szCs w:val="28"/>
        </w:rPr>
        <w:t>”培训班</w:t>
      </w:r>
      <w:r w:rsidR="00F8587B">
        <w:rPr>
          <w:rFonts w:ascii="宋体" w:hAnsi="宋体" w:hint="eastAsia"/>
          <w:b/>
          <w:sz w:val="28"/>
          <w:szCs w:val="28"/>
        </w:rPr>
        <w:t>课程大纲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260"/>
        <w:gridCol w:w="4699"/>
        <w:gridCol w:w="3105"/>
      </w:tblGrid>
      <w:tr w:rsidR="004E385A" w:rsidTr="00487A06">
        <w:trPr>
          <w:cantSplit/>
          <w:trHeight w:val="313"/>
          <w:jc w:val="center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1"/>
              </w:rPr>
              <w:t>时间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1"/>
              </w:rPr>
              <w:t>课程</w:t>
            </w:r>
          </w:p>
        </w:tc>
        <w:tc>
          <w:tcPr>
            <w:tcW w:w="4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1"/>
              </w:rPr>
              <w:t>内容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1"/>
              </w:rPr>
              <w:t>演示和实验</w:t>
            </w:r>
          </w:p>
        </w:tc>
      </w:tr>
      <w:tr w:rsidR="004E385A" w:rsidTr="00487A06">
        <w:trPr>
          <w:cantSplit/>
          <w:trHeight w:val="2865"/>
          <w:jc w:val="center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第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一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天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上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信息安全背景与发展态势</w:t>
            </w:r>
          </w:p>
        </w:tc>
        <w:tc>
          <w:tcPr>
            <w:tcW w:w="4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2014.2.27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>国家信息安全领导小组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2015.315晚会与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>绵羊墙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？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APT与0day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>AET高级逃逸技术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>云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>大数据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、物联网、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>工控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>移动安全挑战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信息安全的背景、概念和特性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2014典型安全事件与安全漏洞总结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网络攻击的步骤和典型的攻击方式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各类典型攻防技术概述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黑客各种网络踩点特征分析和防范措施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端口扫描技术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漏洞扫描技术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渗透测试实践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虚拟机的使用技巧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>心脏出血的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演示与修复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>破壳漏洞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>贵宾犬漏洞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>幽灵漏洞介绍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虚拟机的使用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攻防常用命令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信息获取，Banner识别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网段探测，</w:t>
            </w: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IpScan</w:t>
            </w:r>
            <w:proofErr w:type="spellEnd"/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端口扫描，</w:t>
            </w: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Nmap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、</w:t>
            </w: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SuperScan</w:t>
            </w:r>
            <w:proofErr w:type="spellEnd"/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漏洞扫描，Nessus、</w:t>
            </w: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OpenVAS</w:t>
            </w:r>
            <w:proofErr w:type="spellEnd"/>
          </w:p>
        </w:tc>
      </w:tr>
      <w:tr w:rsidR="004E385A" w:rsidTr="00487A06">
        <w:trPr>
          <w:cantSplit/>
          <w:trHeight w:val="90"/>
          <w:jc w:val="center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第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一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天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下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网络安全常见威胁和防御措施</w:t>
            </w:r>
          </w:p>
        </w:tc>
        <w:tc>
          <w:tcPr>
            <w:tcW w:w="4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各类口令破解技术与应对措施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缓冲区溢出攻击与防御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提权的</w:t>
            </w:r>
            <w:proofErr w:type="gram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艺术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嗅探和</w:t>
            </w:r>
            <w:proofErr w:type="gram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欺骗技术解析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ARP欺骗、ARP病毒、DNS域名劫持、DNS欺骗等攻击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网络钓鱼原理和检测分析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DDOS攻击原理与防御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社会工程学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>—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欺骗的艺术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密码生成器与字典生成器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被忽视的隐私--缓存密码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Windows、Unix系统口令安全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神器</w:t>
            </w: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Mimikatz</w:t>
            </w:r>
            <w:proofErr w:type="spellEnd"/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Office、</w:t>
            </w: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rar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、pdf等文档安全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第三</w:t>
            </w:r>
            <w:proofErr w:type="gram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方应用</w:t>
            </w:r>
            <w:proofErr w:type="gram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口令安全，比如FTP、</w:t>
            </w: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foxmail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、思科设备密码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散列的破解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数据库口令安全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系统溢出，Linux内核溢出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第三</w:t>
            </w:r>
            <w:proofErr w:type="gram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方应用</w:t>
            </w:r>
            <w:proofErr w:type="gram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溢出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系统漏洞提权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Serv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-U提权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4E385A" w:rsidTr="00487A06">
        <w:trPr>
          <w:cantSplit/>
          <w:trHeight w:val="2820"/>
          <w:jc w:val="center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lastRenderedPageBreak/>
              <w:t>第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二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天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上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计算机病毒木马的威胁与防治</w:t>
            </w:r>
          </w:p>
        </w:tc>
        <w:tc>
          <w:tcPr>
            <w:tcW w:w="4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计算机病毒机制与组成结构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恶意代码传播和入侵手段全面汇总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恶意代码传播和感染发现手段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高隐藏性植入代码的检测机制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深入监测恶意代码行为的方法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病毒的高级手工查杀技术和思路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检测监控恶意代码的异常手段汇总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病毒传播和扩散最新技术分析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杀毒软件无法查杀的病毒原理分析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自毁灭木马痕迹的发现技术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盗号程序、后门账号、Shift后门、注册表后门、NTFS文件流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键盘记录、U盘小偷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病毒感染与手动清除实验，灰鸽子和Gh0st木马，文件夹病毒的清除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借助工具软件进行病毒的分析及排查（涉及的工具软件：</w:t>
            </w: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IceSword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 xml:space="preserve">Rootkit </w:t>
            </w:r>
            <w:proofErr w:type="spellStart"/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>Unhooker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、</w:t>
            </w: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Xuetr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、</w:t>
            </w: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ProcessExplorer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4E385A" w:rsidTr="00487A06">
        <w:trPr>
          <w:cantSplit/>
          <w:trHeight w:val="2820"/>
          <w:jc w:val="center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第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二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天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下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Web安全</w:t>
            </w:r>
          </w:p>
        </w:tc>
        <w:tc>
          <w:tcPr>
            <w:tcW w:w="4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OWASP TOP 10介绍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常见Web安全漏洞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SQL注入的原理和对策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XSS</w:t>
            </w:r>
            <w:proofErr w:type="gram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跨站脚本</w:t>
            </w:r>
            <w:proofErr w:type="gram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攻击与cookie欺骗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CSRF攻击介绍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网页挂马与</w:t>
            </w:r>
            <w:proofErr w:type="spellStart"/>
            <w:proofErr w:type="gram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WebShell</w:t>
            </w:r>
            <w:proofErr w:type="spellEnd"/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上传漏洞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Web后台的爆破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旁注等其他Web攻击方式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Web安全工具演示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Web安全防御措施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典型Web漏洞的利用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利用SQL注入进入Web后台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注入点和Web后台的扫描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修复SQL注入漏洞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利用XSS获取管理员权限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利用CSRF修改管理员口令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Webshell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的上传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利用IE漏洞挂马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最小后门--一句话木马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爆破海蜘蛛软路由的后台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旁注演示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Web安全类工具演示</w:t>
            </w:r>
          </w:p>
        </w:tc>
      </w:tr>
      <w:tr w:rsidR="004E385A" w:rsidTr="00487A06">
        <w:trPr>
          <w:cantSplit/>
          <w:trHeight w:val="3268"/>
          <w:jc w:val="center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第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三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天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上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主机操作系统和应用服务器安全加固</w:t>
            </w:r>
          </w:p>
        </w:tc>
        <w:tc>
          <w:tcPr>
            <w:tcW w:w="4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Windows Server 2008安全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Windows备份和还原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II7安全配置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用户账户控制UAC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ServerCore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内核模式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RODC只读域控制器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网络访问保护NAP实践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网络策略服务器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微软补丁服务器WSUS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微软基准安全分析器MBSA实践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SpotLight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服务器性能监视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UAC用户权限控制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Windows备份与还原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IIS7安全加固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安装</w:t>
            </w: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ServerCore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内核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配置RODC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NAP架构NAP的原理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IPSEC和802.1x的NAP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微软WSUS实践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MBSA基线安全扫描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Spotlight监视服务器性能</w:t>
            </w:r>
          </w:p>
        </w:tc>
      </w:tr>
      <w:tr w:rsidR="004E385A" w:rsidTr="00487A06">
        <w:trPr>
          <w:cantSplit/>
          <w:trHeight w:val="3370"/>
          <w:jc w:val="center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lastRenderedPageBreak/>
              <w:t>第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三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天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上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网络安全架构设计和网络安全设备的部署</w:t>
            </w:r>
          </w:p>
        </w:tc>
        <w:tc>
          <w:tcPr>
            <w:tcW w:w="4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网络架构安全基础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网络安全规划实践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路由交换等设备安全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安全架构的设计与安全产品的部署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漏洞扫描设备的配置与部署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内网安全监控和审计系统的配置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网络安全设备部署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防火墙、防水墙、WEB防火墙部署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入侵检测、入侵防御、防病毒部署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统一威胁管理UTM部署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安全运营中心SOC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网络安全规划实践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路由安全和交换安全，模拟环境：</w:t>
            </w: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PacketTracer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或GNS3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发动DTP的攻击、DTP攻击的防范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ARP攻击、防范交换机上ARP的攻击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防火墙部署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IDS、IPS部署实例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UTM、SOC等网络安全设备的部署实例</w:t>
            </w:r>
          </w:p>
        </w:tc>
      </w:tr>
      <w:tr w:rsidR="004E385A" w:rsidTr="00487A06">
        <w:trPr>
          <w:cantSplit/>
          <w:trHeight w:val="2183"/>
          <w:jc w:val="center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第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三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天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下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灾难备份与业务连续性、风险评估方法与工具以及应急响应</w:t>
            </w:r>
          </w:p>
        </w:tc>
        <w:tc>
          <w:tcPr>
            <w:tcW w:w="4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ISO27001管理体系实践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企业ISO27001建立过程与策略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业务连续性管理的特点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业务连续性管理程序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业务连续性和影响分析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编写和实施连续性计划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业务连续性计划的检查维护重新分析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ITIL V3概述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建立企业总体应急预案及部门预案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等级保护概述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风险评估软件安全检测操作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MBSA&amp;MRAST评估小型企业安全案例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某OA系统风险评估实例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风险评估等级保护实例演示</w:t>
            </w:r>
          </w:p>
        </w:tc>
      </w:tr>
      <w:tr w:rsidR="004E385A" w:rsidTr="00487A06">
        <w:trPr>
          <w:cantSplit/>
          <w:trHeight w:val="3034"/>
          <w:jc w:val="center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第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三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天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下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无线安全</w:t>
            </w:r>
          </w:p>
        </w:tc>
        <w:tc>
          <w:tcPr>
            <w:tcW w:w="4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无线安全的背景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WLAN技术和802.11标准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无线网络的五大安全隐患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WEP和WPA的原理与缺陷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无线网络如何做安全加固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实验---破解无线网络密码，针对WEP和WPA/WPA2两种情况进行演示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实验---加固无线AP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无线AP的加固实验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破解WEP加密的无线网络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破解WPA/WPA2加密的无线网络</w:t>
            </w:r>
          </w:p>
        </w:tc>
      </w:tr>
      <w:tr w:rsidR="004E385A" w:rsidTr="00487A06">
        <w:trPr>
          <w:cantSplit/>
          <w:trHeight w:val="3121"/>
          <w:jc w:val="center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lastRenderedPageBreak/>
              <w:t>第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三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天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下</w:t>
            </w:r>
          </w:p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恢复丢失的数据，数据恢复实例</w:t>
            </w:r>
          </w:p>
        </w:tc>
        <w:tc>
          <w:tcPr>
            <w:tcW w:w="4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数据恢复的前提条件和恢复的概率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恢复已格式化的分区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手工恢复FAT和NTFS磁盘格式的文件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利用工具恢复已经删除的文件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分析处理因文件系统被破坏造成的数据损坏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常见文件系统被破坏的现象原因与处理方法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格式化分区的数据恢复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NTFS文件系统的删除及格式化原理及恢复方法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使用Easy recovery、Final data、R-Studio找回丢失的数据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Diskgen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找回丢失的分区</w:t>
            </w:r>
          </w:p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Winhex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恢复删除FAT分区</w:t>
            </w:r>
          </w:p>
        </w:tc>
      </w:tr>
      <w:tr w:rsidR="004E385A" w:rsidTr="00487A06">
        <w:trPr>
          <w:cantSplit/>
          <w:trHeight w:val="1924"/>
          <w:jc w:val="center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附加课程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87A06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DNS安全</w:t>
            </w:r>
          </w:p>
          <w:p w:rsidR="004E385A" w:rsidRDefault="004E385A" w:rsidP="00487A06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</w:p>
          <w:p w:rsidR="004E385A" w:rsidRDefault="004E385A" w:rsidP="00487A06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个人日常安全</w:t>
            </w:r>
          </w:p>
          <w:p w:rsidR="004E385A" w:rsidRDefault="004E385A" w:rsidP="00487A06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泄密途径</w:t>
            </w:r>
          </w:p>
          <w:p w:rsidR="004E385A" w:rsidRDefault="004E385A" w:rsidP="00487A06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</w:p>
          <w:p w:rsidR="004E385A" w:rsidRDefault="004E385A" w:rsidP="00487A06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灾难备份与业务持续性管理</w:t>
            </w:r>
          </w:p>
          <w:p w:rsidR="004E385A" w:rsidRDefault="004E385A" w:rsidP="00487A06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</w:p>
          <w:p w:rsidR="004E385A" w:rsidRDefault="004E385A" w:rsidP="00487A06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应急响应</w:t>
            </w:r>
          </w:p>
        </w:tc>
        <w:tc>
          <w:tcPr>
            <w:tcW w:w="4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DNS协议原理、协议安全、bind部署与安全加固、DNS欺骗、DNS放大攻击等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个人PC的加固、提升员工自我安全意识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总结出的九大泄密途径，有针对性的进行网络安全加固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灾备</w:t>
            </w:r>
          </w:p>
          <w:p w:rsidR="004E385A" w:rsidRDefault="004E385A" w:rsidP="004E385A">
            <w:pPr>
              <w:widowControl/>
              <w:numPr>
                <w:ilvl w:val="0"/>
                <w:numId w:val="5"/>
              </w:numPr>
              <w:spacing w:line="400" w:lineRule="exact"/>
              <w:ind w:hangingChars="200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应急响应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5A" w:rsidRDefault="004E385A" w:rsidP="004E385A">
            <w:pPr>
              <w:widowControl/>
              <w:numPr>
                <w:ilvl w:val="0"/>
                <w:numId w:val="6"/>
              </w:numPr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根据学员实际情况和时间灵活调整内容</w:t>
            </w:r>
          </w:p>
        </w:tc>
      </w:tr>
    </w:tbl>
    <w:p w:rsidR="00E834AA" w:rsidRDefault="00E834AA" w:rsidP="00E834AA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E834AA" w:rsidRPr="00E834AA" w:rsidRDefault="00E834AA" w:rsidP="00E834AA">
      <w:pPr>
        <w:jc w:val="left"/>
        <w:rPr>
          <w:rFonts w:ascii="宋体" w:hAnsi="宋体"/>
          <w:b/>
          <w:sz w:val="28"/>
          <w:szCs w:val="28"/>
        </w:rPr>
      </w:pPr>
      <w:r w:rsidRPr="00E834AA">
        <w:rPr>
          <w:rFonts w:ascii="宋体" w:hAnsi="宋体" w:hint="eastAsia"/>
          <w:b/>
          <w:sz w:val="28"/>
          <w:szCs w:val="28"/>
        </w:rPr>
        <w:lastRenderedPageBreak/>
        <w:t>附件2：</w:t>
      </w:r>
    </w:p>
    <w:p w:rsidR="00E834AA" w:rsidRPr="004E385A" w:rsidRDefault="004E385A" w:rsidP="00BE2481">
      <w:pPr>
        <w:jc w:val="center"/>
        <w:rPr>
          <w:rFonts w:ascii="宋体" w:hAnsi="宋体"/>
          <w:b/>
          <w:sz w:val="28"/>
          <w:szCs w:val="28"/>
        </w:rPr>
      </w:pPr>
      <w:r w:rsidRPr="004E385A">
        <w:rPr>
          <w:rFonts w:ascii="宋体" w:hAnsi="宋体" w:hint="eastAsia"/>
          <w:b/>
          <w:sz w:val="28"/>
          <w:szCs w:val="28"/>
        </w:rPr>
        <w:t>“网络安全</w:t>
      </w:r>
      <w:r w:rsidR="00371FE2">
        <w:rPr>
          <w:rFonts w:ascii="宋体" w:hAnsi="宋体" w:hint="eastAsia"/>
          <w:b/>
          <w:sz w:val="28"/>
          <w:szCs w:val="28"/>
        </w:rPr>
        <w:t>与数据恢复学习</w:t>
      </w:r>
      <w:bookmarkStart w:id="0" w:name="_GoBack"/>
      <w:bookmarkEnd w:id="0"/>
      <w:r w:rsidRPr="004E385A">
        <w:rPr>
          <w:rFonts w:ascii="宋体" w:hAnsi="宋体" w:hint="eastAsia"/>
          <w:b/>
          <w:sz w:val="28"/>
          <w:szCs w:val="28"/>
        </w:rPr>
        <w:t>”培训班</w:t>
      </w:r>
      <w:r w:rsidR="00E834AA">
        <w:rPr>
          <w:rFonts w:ascii="宋体" w:hAnsi="宋体" w:hint="eastAsia"/>
          <w:b/>
          <w:sz w:val="28"/>
          <w:szCs w:val="28"/>
        </w:rPr>
        <w:t>报名回执表</w:t>
      </w:r>
    </w:p>
    <w:tbl>
      <w:tblPr>
        <w:tblW w:w="100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274"/>
        <w:gridCol w:w="1827"/>
        <w:gridCol w:w="1717"/>
        <w:gridCol w:w="730"/>
        <w:gridCol w:w="404"/>
        <w:gridCol w:w="2677"/>
      </w:tblGrid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629" w:type="dxa"/>
            <w:gridSpan w:val="6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478"/>
          <w:jc w:val="center"/>
        </w:trPr>
        <w:tc>
          <w:tcPr>
            <w:tcW w:w="143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4818" w:type="dxa"/>
            <w:gridSpan w:val="3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trHeight w:val="592"/>
          <w:jc w:val="center"/>
        </w:trPr>
        <w:tc>
          <w:tcPr>
            <w:tcW w:w="143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E834AA" w:rsidRPr="007D411C" w:rsidRDefault="00E834AA" w:rsidP="00580EC4">
            <w:pPr>
              <w:spacing w:line="520" w:lineRule="exact"/>
              <w:ind w:right="42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27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部门/职务</w:t>
            </w:r>
          </w:p>
        </w:tc>
        <w:tc>
          <w:tcPr>
            <w:tcW w:w="1717" w:type="dxa"/>
            <w:vAlign w:val="center"/>
          </w:tcPr>
          <w:p w:rsidR="00E834AA" w:rsidRPr="007D411C" w:rsidRDefault="00E834AA" w:rsidP="00580EC4">
            <w:pPr>
              <w:spacing w:line="520" w:lineRule="exact"/>
              <w:ind w:firstLineChars="150" w:firstLine="420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134" w:type="dxa"/>
            <w:gridSpan w:val="2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677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1150"/>
          <w:jc w:val="center"/>
        </w:trPr>
        <w:tc>
          <w:tcPr>
            <w:tcW w:w="6982" w:type="dxa"/>
            <w:gridSpan w:val="5"/>
            <w:vAlign w:val="center"/>
          </w:tcPr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户    名：</w:t>
            </w:r>
            <w:proofErr w:type="gramStart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软博时代</w:t>
            </w:r>
            <w:proofErr w:type="gramEnd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（北京）科技有限公司</w:t>
            </w:r>
          </w:p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开 户 行：招商银行北京陶然亭支行</w:t>
            </w:r>
          </w:p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帐    号：110914587710501</w:t>
            </w:r>
          </w:p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户    名：中</w:t>
            </w:r>
            <w:proofErr w:type="gramStart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联软博</w:t>
            </w:r>
            <w:proofErr w:type="gramEnd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（北京）科技有限公司</w:t>
            </w:r>
          </w:p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开 户 行：中国工商银行北京中关村支行</w:t>
            </w:r>
          </w:p>
          <w:p w:rsidR="00E834AA" w:rsidRPr="007D411C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proofErr w:type="gramStart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账</w:t>
            </w:r>
            <w:proofErr w:type="gramEnd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 xml:space="preserve">    号：0200095609200088230</w:t>
            </w:r>
          </w:p>
        </w:tc>
        <w:tc>
          <w:tcPr>
            <w:tcW w:w="3081" w:type="dxa"/>
            <w:gridSpan w:val="2"/>
            <w:vAlign w:val="center"/>
          </w:tcPr>
          <w:p w:rsidR="00E834AA" w:rsidRPr="007D411C" w:rsidRDefault="00E834AA" w:rsidP="00580EC4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参会单位签字或盖章</w:t>
            </w:r>
          </w:p>
        </w:tc>
      </w:tr>
    </w:tbl>
    <w:p w:rsidR="00E834AA" w:rsidRPr="00E834AA" w:rsidRDefault="00E834AA" w:rsidP="00E834AA">
      <w:pPr>
        <w:spacing w:line="240" w:lineRule="atLeast"/>
        <w:ind w:right="700" w:firstLineChars="200" w:firstLine="480"/>
        <w:rPr>
          <w:rFonts w:ascii="仿宋_GB2312" w:eastAsia="仿宋_GB2312" w:hAnsi="宋体"/>
          <w:bCs/>
          <w:color w:val="000000"/>
          <w:sz w:val="24"/>
          <w:szCs w:val="24"/>
        </w:rPr>
      </w:pPr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请于9月30日前发送邮件</w:t>
      </w:r>
      <w:proofErr w:type="gramStart"/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至协会</w:t>
      </w:r>
      <w:proofErr w:type="gramEnd"/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秘书处，开班前一周我们将发送报到通知，届时请注意查收。</w:t>
      </w:r>
    </w:p>
    <w:p w:rsidR="00E834AA" w:rsidRPr="00E834AA" w:rsidRDefault="00E834AA" w:rsidP="00E834AA">
      <w:pPr>
        <w:spacing w:line="240" w:lineRule="atLeast"/>
        <w:ind w:right="700" w:firstLineChars="200" w:firstLine="480"/>
        <w:rPr>
          <w:rFonts w:ascii="仿宋_GB2312" w:eastAsia="仿宋_GB2312" w:hAnsi="宋体"/>
          <w:bCs/>
          <w:color w:val="000000"/>
          <w:sz w:val="24"/>
          <w:szCs w:val="24"/>
        </w:rPr>
      </w:pPr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联系人：叶馨，电话：66311548，传真：020-66311543，邮箱：</w:t>
      </w:r>
      <w:hyperlink r:id="rId9" w:tgtFrame="_blank" w:history="1">
        <w:r w:rsidRPr="00E834AA">
          <w:rPr>
            <w:rFonts w:ascii="仿宋_GB2312" w:eastAsia="仿宋_GB2312" w:hAnsi="宋体" w:hint="eastAsia"/>
            <w:bCs/>
            <w:color w:val="000000"/>
            <w:sz w:val="24"/>
            <w:szCs w:val="24"/>
          </w:rPr>
          <w:t>gzhea@vip.163.com</w:t>
        </w:r>
      </w:hyperlink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。</w:t>
      </w:r>
    </w:p>
    <w:p w:rsidR="00E834AA" w:rsidRDefault="00E834AA"/>
    <w:p w:rsidR="005F7600" w:rsidRPr="005F7600" w:rsidRDefault="005F7600" w:rsidP="005F7600"/>
    <w:sectPr w:rsidR="005F7600" w:rsidRPr="005F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A9" w:rsidRDefault="007C31A9" w:rsidP="00F8587B">
      <w:r>
        <w:separator/>
      </w:r>
    </w:p>
  </w:endnote>
  <w:endnote w:type="continuationSeparator" w:id="0">
    <w:p w:rsidR="007C31A9" w:rsidRDefault="007C31A9" w:rsidP="00F8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A9" w:rsidRDefault="007C31A9" w:rsidP="00F8587B">
      <w:r>
        <w:separator/>
      </w:r>
    </w:p>
  </w:footnote>
  <w:footnote w:type="continuationSeparator" w:id="0">
    <w:p w:rsidR="007C31A9" w:rsidRDefault="007C31A9" w:rsidP="00F85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●"/>
      <w:lvlJc w:val="left"/>
      <w:pPr>
        <w:ind w:left="780" w:hanging="360"/>
      </w:pPr>
      <w:rPr>
        <w:rFonts w:ascii="黑体" w:eastAsia="黑体" w:hAnsi="黑体" w:cs="Times New Roman" w:hint="eastAsia"/>
        <w:sz w:val="9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●"/>
      <w:lvlJc w:val="left"/>
      <w:pPr>
        <w:ind w:left="780" w:hanging="360"/>
      </w:pPr>
      <w:rPr>
        <w:rFonts w:ascii="黑体" w:eastAsia="黑体" w:hAnsi="黑体" w:cs="Times New Roman" w:hint="eastAsia"/>
        <w:sz w:val="9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4322DF"/>
    <w:multiLevelType w:val="multilevel"/>
    <w:tmpl w:val="134322D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1D23449"/>
    <w:multiLevelType w:val="multilevel"/>
    <w:tmpl w:val="21D2344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AA"/>
    <w:rsid w:val="000963D5"/>
    <w:rsid w:val="00096B41"/>
    <w:rsid w:val="000C00F6"/>
    <w:rsid w:val="00236A51"/>
    <w:rsid w:val="00371FE2"/>
    <w:rsid w:val="004E385A"/>
    <w:rsid w:val="005F7600"/>
    <w:rsid w:val="007C31A9"/>
    <w:rsid w:val="009657AA"/>
    <w:rsid w:val="00BE2481"/>
    <w:rsid w:val="00C81ECE"/>
    <w:rsid w:val="00E834AA"/>
    <w:rsid w:val="00F8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34A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bodycopy1">
    <w:name w:val="bodycopy1"/>
    <w:basedOn w:val="a0"/>
    <w:rsid w:val="00E834AA"/>
    <w:rPr>
      <w:rFonts w:ascii="Arial" w:hAnsi="Arial" w:cs="Arial" w:hint="default"/>
      <w:strike w:val="0"/>
      <w:dstrike w:val="0"/>
      <w:color w:val="000000"/>
      <w:sz w:val="18"/>
      <w:szCs w:val="18"/>
      <w:u w:val="none"/>
    </w:rPr>
  </w:style>
  <w:style w:type="paragraph" w:styleId="a4">
    <w:name w:val="header"/>
    <w:basedOn w:val="a"/>
    <w:link w:val="Char"/>
    <w:uiPriority w:val="99"/>
    <w:unhideWhenUsed/>
    <w:rsid w:val="00F85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58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587B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qFormat/>
    <w:rsid w:val="00F8587B"/>
    <w:rPr>
      <w:b/>
    </w:rPr>
  </w:style>
  <w:style w:type="paragraph" w:styleId="a7">
    <w:name w:val="Normal (Web)"/>
    <w:basedOn w:val="a"/>
    <w:rsid w:val="00F8587B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34A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bodycopy1">
    <w:name w:val="bodycopy1"/>
    <w:basedOn w:val="a0"/>
    <w:rsid w:val="00E834AA"/>
    <w:rPr>
      <w:rFonts w:ascii="Arial" w:hAnsi="Arial" w:cs="Arial" w:hint="default"/>
      <w:strike w:val="0"/>
      <w:dstrike w:val="0"/>
      <w:color w:val="000000"/>
      <w:sz w:val="18"/>
      <w:szCs w:val="18"/>
      <w:u w:val="none"/>
    </w:rPr>
  </w:style>
  <w:style w:type="paragraph" w:styleId="a4">
    <w:name w:val="header"/>
    <w:basedOn w:val="a"/>
    <w:link w:val="Char"/>
    <w:uiPriority w:val="99"/>
    <w:unhideWhenUsed/>
    <w:rsid w:val="00F85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58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587B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qFormat/>
    <w:rsid w:val="00F8587B"/>
    <w:rPr>
      <w:b/>
    </w:rPr>
  </w:style>
  <w:style w:type="paragraph" w:styleId="a7">
    <w:name w:val="Normal (Web)"/>
    <w:basedOn w:val="a"/>
    <w:rsid w:val="00F8587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zsoa2010@vip.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ADCB-FB15-4F81-98A6-195FCE14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gzhea@outlook.com</dc:creator>
  <cp:lastModifiedBy>gzhea@outlook.com</cp:lastModifiedBy>
  <cp:revision>4</cp:revision>
  <dcterms:created xsi:type="dcterms:W3CDTF">2015-09-15T01:57:00Z</dcterms:created>
  <dcterms:modified xsi:type="dcterms:W3CDTF">2015-09-15T02:04:00Z</dcterms:modified>
</cp:coreProperties>
</file>